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C5F" w:rsidRDefault="00DC1E71" w:rsidP="00DC1E71">
      <w:pPr>
        <w:widowControl w:val="0"/>
        <w:rPr>
          <w:b/>
          <w:sz w:val="24"/>
          <w:szCs w:val="24"/>
        </w:rPr>
      </w:pPr>
      <w:r>
        <w:rPr>
          <w:noProof/>
          <w:lang w:eastAsia="ro-RO"/>
        </w:rPr>
        <w:drawing>
          <wp:anchor distT="0" distB="0" distL="0" distR="0" simplePos="0" relativeHeight="251659264" behindDoc="0" locked="0" layoutInCell="1" allowOverlap="1" wp14:anchorId="22105851" wp14:editId="6818CE13">
            <wp:simplePos x="0" y="0"/>
            <wp:positionH relativeFrom="page">
              <wp:posOffset>810260</wp:posOffset>
            </wp:positionH>
            <wp:positionV relativeFrom="paragraph">
              <wp:posOffset>342900</wp:posOffset>
            </wp:positionV>
            <wp:extent cx="5965190" cy="492760"/>
            <wp:effectExtent l="0" t="0" r="0" b="2540"/>
            <wp:wrapTopAndBottom/>
            <wp:docPr id="19" name="image10.jpeg" descr="C:\Users\userhp\Downloads\antet_pnrr_comunicat-pres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6519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DC1E71" w:rsidRDefault="00DC1E71" w:rsidP="00CB10B4">
      <w:pPr>
        <w:widowControl w:val="0"/>
        <w:jc w:val="center"/>
        <w:rPr>
          <w:b/>
          <w:sz w:val="24"/>
          <w:szCs w:val="24"/>
        </w:rPr>
      </w:pPr>
    </w:p>
    <w:p w:rsidR="00DC1E71" w:rsidRDefault="00DC1E71" w:rsidP="00CB10B4">
      <w:pPr>
        <w:widowControl w:val="0"/>
        <w:jc w:val="center"/>
        <w:rPr>
          <w:b/>
          <w:sz w:val="24"/>
          <w:szCs w:val="24"/>
        </w:rPr>
      </w:pPr>
    </w:p>
    <w:p w:rsidR="00EA27CA" w:rsidRPr="00454876" w:rsidRDefault="00776B11" w:rsidP="00CB10B4">
      <w:pPr>
        <w:widowControl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ANUNȚ</w:t>
      </w:r>
    </w:p>
    <w:p w:rsidR="00576547" w:rsidRPr="00576547" w:rsidRDefault="00776B11" w:rsidP="00CB10B4">
      <w:pPr>
        <w:spacing w:after="120" w:line="240" w:lineRule="auto"/>
        <w:ind w:right="-12"/>
        <w:jc w:val="center"/>
        <w:rPr>
          <w:rFonts w:ascii="Trebuchet MS" w:eastAsia="Calibri" w:hAnsi="Trebuchet MS" w:cs="Times New Roman"/>
          <w:b/>
        </w:rPr>
      </w:pPr>
      <w:r>
        <w:rPr>
          <w:rFonts w:ascii="Trebuchet MS" w:eastAsia="Calibri" w:hAnsi="Trebuchet MS" w:cs="Times New Roman"/>
          <w:b/>
        </w:rPr>
        <w:t xml:space="preserve">pentru </w:t>
      </w:r>
      <w:r w:rsidR="002B6C73" w:rsidRPr="002B6C73">
        <w:rPr>
          <w:rFonts w:ascii="Trebuchet MS" w:eastAsia="Calibri" w:hAnsi="Trebuchet MS" w:cs="Times New Roman"/>
          <w:b/>
        </w:rPr>
        <w:t xml:space="preserve">exprimarea interesului </w:t>
      </w:r>
      <w:r w:rsidR="00CB10B4">
        <w:rPr>
          <w:rFonts w:ascii="Trebuchet MS" w:eastAsia="Calibri" w:hAnsi="Trebuchet MS" w:cs="Times New Roman"/>
          <w:b/>
        </w:rPr>
        <w:t xml:space="preserve">organizațiilor neguvernamentale </w:t>
      </w:r>
      <w:r w:rsidR="002B6C73" w:rsidRPr="002B6C73">
        <w:rPr>
          <w:rFonts w:ascii="Trebuchet MS" w:eastAsia="Calibri" w:hAnsi="Trebuchet MS" w:cs="Times New Roman"/>
          <w:b/>
        </w:rPr>
        <w:t>de participare în cadrul</w:t>
      </w:r>
      <w:r w:rsidR="00CB10B4">
        <w:rPr>
          <w:rFonts w:ascii="Trebuchet MS" w:eastAsia="Calibri" w:hAnsi="Trebuchet MS" w:cs="Times New Roman"/>
          <w:b/>
        </w:rPr>
        <w:t xml:space="preserve"> </w:t>
      </w:r>
      <w:r w:rsidRPr="00576547">
        <w:rPr>
          <w:rFonts w:ascii="Trebuchet MS" w:eastAsia="Calibri" w:hAnsi="Trebuchet MS" w:cs="Times New Roman"/>
          <w:b/>
        </w:rPr>
        <w:t>Comitetul</w:t>
      </w:r>
      <w:r w:rsidR="00BC1007">
        <w:rPr>
          <w:rFonts w:ascii="Trebuchet MS" w:eastAsia="Calibri" w:hAnsi="Trebuchet MS" w:cs="Times New Roman"/>
          <w:b/>
        </w:rPr>
        <w:t>ui de Monitorizare a Planului Naț</w:t>
      </w:r>
      <w:r w:rsidRPr="00576547">
        <w:rPr>
          <w:rFonts w:ascii="Trebuchet MS" w:eastAsia="Calibri" w:hAnsi="Trebuchet MS" w:cs="Times New Roman"/>
          <w:b/>
        </w:rPr>
        <w:t xml:space="preserve">ional de Redresare </w:t>
      </w:r>
      <w:proofErr w:type="spellStart"/>
      <w:r w:rsidRPr="00576547">
        <w:rPr>
          <w:rFonts w:ascii="Trebuchet MS" w:eastAsia="Calibri" w:hAnsi="Trebuchet MS" w:cs="Times New Roman"/>
          <w:b/>
        </w:rPr>
        <w:t>şi</w:t>
      </w:r>
      <w:proofErr w:type="spellEnd"/>
      <w:r w:rsidRPr="00576547">
        <w:rPr>
          <w:rFonts w:ascii="Trebuchet MS" w:eastAsia="Calibri" w:hAnsi="Trebuchet MS" w:cs="Times New Roman"/>
          <w:b/>
        </w:rPr>
        <w:t xml:space="preserve"> Reziliență</w:t>
      </w:r>
      <w:r w:rsidR="00CB10B4">
        <w:rPr>
          <w:rFonts w:ascii="Trebuchet MS" w:eastAsia="Calibri" w:hAnsi="Trebuchet MS" w:cs="Times New Roman"/>
          <w:b/>
        </w:rPr>
        <w:t xml:space="preserve"> </w:t>
      </w:r>
      <w:r w:rsidRPr="00576547">
        <w:rPr>
          <w:rFonts w:ascii="Trebuchet MS" w:eastAsia="Calibri" w:hAnsi="Trebuchet MS" w:cs="Times New Roman"/>
          <w:b/>
        </w:rPr>
        <w:t>(</w:t>
      </w:r>
      <w:r w:rsidR="00FA35F6">
        <w:rPr>
          <w:rFonts w:ascii="Trebuchet MS" w:eastAsia="Calibri" w:hAnsi="Trebuchet MS" w:cs="Times New Roman"/>
          <w:b/>
        </w:rPr>
        <w:t xml:space="preserve">CM </w:t>
      </w:r>
      <w:r w:rsidRPr="00576547">
        <w:rPr>
          <w:rFonts w:ascii="Trebuchet MS" w:eastAsia="Calibri" w:hAnsi="Trebuchet MS" w:cs="Times New Roman"/>
          <w:b/>
        </w:rPr>
        <w:t>PNRR)</w:t>
      </w:r>
    </w:p>
    <w:p w:rsidR="009D598B" w:rsidRDefault="009D598B" w:rsidP="00551C78">
      <w:pPr>
        <w:widowControl w:val="0"/>
        <w:spacing w:before="120" w:after="120"/>
        <w:jc w:val="both"/>
        <w:rPr>
          <w:sz w:val="24"/>
          <w:szCs w:val="24"/>
        </w:rPr>
      </w:pPr>
    </w:p>
    <w:p w:rsidR="007C308D" w:rsidRPr="007C308D" w:rsidRDefault="007C308D" w:rsidP="007C308D">
      <w:pPr>
        <w:widowControl w:val="0"/>
        <w:spacing w:before="120" w:after="120"/>
        <w:jc w:val="both"/>
        <w:rPr>
          <w:bCs/>
          <w:iCs/>
          <w:sz w:val="24"/>
          <w:szCs w:val="24"/>
        </w:rPr>
      </w:pPr>
      <w:r w:rsidRPr="007C308D">
        <w:rPr>
          <w:bCs/>
          <w:iCs/>
          <w:sz w:val="24"/>
          <w:szCs w:val="24"/>
        </w:rPr>
        <w:t xml:space="preserve">Ministerul Investițiilor și Proiectelor Europene (MIPE) este, conform Ordonanței de urgență a Guvernului nr. 155/2020 privind unele măsuri pentru elaborarea PNRR necesar României pentru accesarea de fonduri externe rambursabile şi nerambursabile în cadrul Mecanismului de redresare şi </w:t>
      </w:r>
      <w:r w:rsidR="00CB10B4" w:rsidRPr="007C308D">
        <w:rPr>
          <w:bCs/>
          <w:iCs/>
          <w:sz w:val="24"/>
          <w:szCs w:val="24"/>
        </w:rPr>
        <w:t>reziliență</w:t>
      </w:r>
      <w:r w:rsidRPr="007C308D">
        <w:rPr>
          <w:bCs/>
          <w:iCs/>
          <w:sz w:val="24"/>
          <w:szCs w:val="24"/>
        </w:rPr>
        <w:t xml:space="preserve">, coordonatorul național pentru elaborarea, negocierea, </w:t>
      </w:r>
      <w:r w:rsidR="00776B11">
        <w:rPr>
          <w:bCs/>
          <w:iCs/>
          <w:sz w:val="24"/>
          <w:szCs w:val="24"/>
        </w:rPr>
        <w:t>aprobarea și implementarea PNRR.</w:t>
      </w:r>
    </w:p>
    <w:p w:rsidR="00FA35F6" w:rsidRPr="00FA35F6" w:rsidRDefault="00FA35F6" w:rsidP="00FA35F6">
      <w:pPr>
        <w:widowControl w:val="0"/>
        <w:spacing w:before="120" w:after="120"/>
        <w:jc w:val="both"/>
        <w:rPr>
          <w:b/>
          <w:sz w:val="24"/>
          <w:szCs w:val="24"/>
        </w:rPr>
      </w:pPr>
      <w:r>
        <w:rPr>
          <w:bCs/>
          <w:iCs/>
          <w:sz w:val="24"/>
          <w:szCs w:val="24"/>
        </w:rPr>
        <w:t xml:space="preserve">În acord cu prevederile </w:t>
      </w:r>
      <w:r w:rsidR="007C308D" w:rsidRPr="007C308D">
        <w:rPr>
          <w:bCs/>
          <w:iCs/>
          <w:sz w:val="24"/>
          <w:szCs w:val="24"/>
        </w:rPr>
        <w:t>Hotărâr</w:t>
      </w:r>
      <w:r>
        <w:rPr>
          <w:bCs/>
          <w:iCs/>
          <w:sz w:val="24"/>
          <w:szCs w:val="24"/>
        </w:rPr>
        <w:t xml:space="preserve">ii </w:t>
      </w:r>
      <w:r w:rsidR="007C308D" w:rsidRPr="007C308D">
        <w:rPr>
          <w:bCs/>
          <w:iCs/>
          <w:sz w:val="24"/>
          <w:szCs w:val="24"/>
        </w:rPr>
        <w:t>de Guvern nr. 247/23.02.2022 privind organizarea și funcționarea Comitetului de monitorizare a Planului Nați</w:t>
      </w:r>
      <w:r>
        <w:rPr>
          <w:bCs/>
          <w:iCs/>
          <w:sz w:val="24"/>
          <w:szCs w:val="24"/>
        </w:rPr>
        <w:t xml:space="preserve">onal de Redresare și Reziliență, prin care </w:t>
      </w:r>
      <w:r w:rsidR="007C308D" w:rsidRPr="007C308D">
        <w:rPr>
          <w:bCs/>
          <w:iCs/>
          <w:sz w:val="24"/>
          <w:szCs w:val="24"/>
        </w:rPr>
        <w:t xml:space="preserve">este </w:t>
      </w:r>
      <w:r w:rsidR="00BC1007">
        <w:rPr>
          <w:bCs/>
          <w:iCs/>
          <w:sz w:val="24"/>
          <w:szCs w:val="24"/>
        </w:rPr>
        <w:t>reglementat modul de organizare și</w:t>
      </w:r>
      <w:r w:rsidR="007C308D" w:rsidRPr="007C308D">
        <w:rPr>
          <w:bCs/>
          <w:iCs/>
          <w:sz w:val="24"/>
          <w:szCs w:val="24"/>
        </w:rPr>
        <w:t xml:space="preserve"> </w:t>
      </w:r>
      <w:r w:rsidR="00CB10B4" w:rsidRPr="007C308D">
        <w:rPr>
          <w:bCs/>
          <w:iCs/>
          <w:sz w:val="24"/>
          <w:szCs w:val="24"/>
        </w:rPr>
        <w:t>funcționare</w:t>
      </w:r>
      <w:r w:rsidR="007C308D" w:rsidRPr="007C308D">
        <w:rPr>
          <w:bCs/>
          <w:iCs/>
          <w:sz w:val="24"/>
          <w:szCs w:val="24"/>
        </w:rPr>
        <w:t xml:space="preserve">, </w:t>
      </w:r>
      <w:r w:rsidR="00CB10B4" w:rsidRPr="007C308D">
        <w:rPr>
          <w:bCs/>
          <w:iCs/>
          <w:sz w:val="24"/>
          <w:szCs w:val="24"/>
        </w:rPr>
        <w:t>componența</w:t>
      </w:r>
      <w:r w:rsidR="007C308D" w:rsidRPr="007C308D">
        <w:rPr>
          <w:bCs/>
          <w:iCs/>
          <w:sz w:val="24"/>
          <w:szCs w:val="24"/>
        </w:rPr>
        <w:t xml:space="preserve">, </w:t>
      </w:r>
      <w:r w:rsidR="00CB10B4" w:rsidRPr="007C308D">
        <w:rPr>
          <w:bCs/>
          <w:iCs/>
          <w:sz w:val="24"/>
          <w:szCs w:val="24"/>
        </w:rPr>
        <w:t>atribuțiile</w:t>
      </w:r>
      <w:r w:rsidR="007C308D" w:rsidRPr="007C308D">
        <w:rPr>
          <w:bCs/>
          <w:iCs/>
          <w:sz w:val="24"/>
          <w:szCs w:val="24"/>
        </w:rPr>
        <w:t xml:space="preserve"> </w:t>
      </w:r>
      <w:r w:rsidR="00CB10B4" w:rsidRPr="007C308D">
        <w:rPr>
          <w:bCs/>
          <w:iCs/>
          <w:sz w:val="24"/>
          <w:szCs w:val="24"/>
        </w:rPr>
        <w:t>și</w:t>
      </w:r>
      <w:r w:rsidR="007C308D" w:rsidRPr="007C308D">
        <w:rPr>
          <w:bCs/>
          <w:iCs/>
          <w:sz w:val="24"/>
          <w:szCs w:val="24"/>
        </w:rPr>
        <w:t xml:space="preserve"> p</w:t>
      </w:r>
      <w:r w:rsidR="00776B11">
        <w:rPr>
          <w:bCs/>
          <w:iCs/>
          <w:sz w:val="24"/>
          <w:szCs w:val="24"/>
        </w:rPr>
        <w:t>rocedura de lucru a C</w:t>
      </w:r>
      <w:r>
        <w:rPr>
          <w:bCs/>
          <w:iCs/>
          <w:sz w:val="24"/>
          <w:szCs w:val="24"/>
        </w:rPr>
        <w:t>M PNRR</w:t>
      </w:r>
      <w:r w:rsidR="00776B11">
        <w:rPr>
          <w:sz w:val="24"/>
          <w:szCs w:val="24"/>
        </w:rPr>
        <w:t>,</w:t>
      </w:r>
      <w:r w:rsidR="007C308D">
        <w:rPr>
          <w:b/>
          <w:sz w:val="24"/>
          <w:szCs w:val="24"/>
        </w:rPr>
        <w:t xml:space="preserve"> </w:t>
      </w:r>
      <w:r w:rsidR="005E0CBD" w:rsidRPr="005E0CBD">
        <w:rPr>
          <w:b/>
          <w:sz w:val="24"/>
          <w:szCs w:val="24"/>
        </w:rPr>
        <w:t xml:space="preserve">Ministerul Investițiilor și </w:t>
      </w:r>
      <w:r w:rsidR="001C5F85">
        <w:rPr>
          <w:b/>
          <w:sz w:val="24"/>
          <w:szCs w:val="24"/>
        </w:rPr>
        <w:t>P</w:t>
      </w:r>
      <w:r w:rsidR="005E0CBD" w:rsidRPr="005E0CBD">
        <w:rPr>
          <w:b/>
          <w:sz w:val="24"/>
          <w:szCs w:val="24"/>
        </w:rPr>
        <w:t>roiectelor Europene</w:t>
      </w:r>
      <w:r w:rsidR="005E0CBD">
        <w:rPr>
          <w:sz w:val="24"/>
          <w:szCs w:val="24"/>
        </w:rPr>
        <w:t xml:space="preserve"> </w:t>
      </w:r>
      <w:r w:rsidR="005E0CBD" w:rsidRPr="005E0CBD">
        <w:rPr>
          <w:b/>
          <w:sz w:val="24"/>
          <w:szCs w:val="24"/>
        </w:rPr>
        <w:t xml:space="preserve">lansează </w:t>
      </w:r>
      <w:r w:rsidR="00776B11">
        <w:rPr>
          <w:b/>
          <w:sz w:val="24"/>
          <w:szCs w:val="24"/>
        </w:rPr>
        <w:t xml:space="preserve">apelul de candidaturi pentru </w:t>
      </w:r>
      <w:r w:rsidRPr="00FA35F6">
        <w:rPr>
          <w:b/>
          <w:sz w:val="24"/>
          <w:szCs w:val="24"/>
        </w:rPr>
        <w:t>exprimarea interesului de participare în cadrul</w:t>
      </w:r>
      <w:r>
        <w:rPr>
          <w:b/>
          <w:sz w:val="24"/>
          <w:szCs w:val="24"/>
        </w:rPr>
        <w:t xml:space="preserve"> CM PNRR</w:t>
      </w:r>
      <w:r w:rsidR="00CB10B4">
        <w:rPr>
          <w:b/>
          <w:sz w:val="24"/>
          <w:szCs w:val="24"/>
        </w:rPr>
        <w:t>.</w:t>
      </w:r>
    </w:p>
    <w:p w:rsidR="00EA6348" w:rsidRPr="00E471AC" w:rsidRDefault="003821E3" w:rsidP="00FA35F6">
      <w:pPr>
        <w:widowControl w:val="0"/>
        <w:spacing w:before="120" w:after="120"/>
        <w:jc w:val="both"/>
        <w:rPr>
          <w:sz w:val="24"/>
          <w:szCs w:val="24"/>
        </w:rPr>
      </w:pPr>
      <w:r w:rsidRPr="00E471AC">
        <w:rPr>
          <w:sz w:val="24"/>
          <w:szCs w:val="24"/>
        </w:rPr>
        <w:t xml:space="preserve">În vederea selectării unor parteneri reprezentativi </w:t>
      </w:r>
      <w:r w:rsidR="00FA35F6" w:rsidRPr="00E471AC">
        <w:rPr>
          <w:sz w:val="24"/>
          <w:szCs w:val="24"/>
        </w:rPr>
        <w:t>și</w:t>
      </w:r>
      <w:r w:rsidRPr="00E471AC">
        <w:rPr>
          <w:sz w:val="24"/>
          <w:szCs w:val="24"/>
        </w:rPr>
        <w:t xml:space="preserve"> </w:t>
      </w:r>
      <w:r w:rsidR="00FA35F6" w:rsidRPr="00E471AC">
        <w:rPr>
          <w:sz w:val="24"/>
          <w:szCs w:val="24"/>
        </w:rPr>
        <w:t>implicați</w:t>
      </w:r>
      <w:r w:rsidRPr="00E471AC">
        <w:rPr>
          <w:sz w:val="24"/>
          <w:szCs w:val="24"/>
        </w:rPr>
        <w:t xml:space="preserve"> ca membri </w:t>
      </w:r>
      <w:r w:rsidR="00115605" w:rsidRPr="00E471AC">
        <w:rPr>
          <w:sz w:val="24"/>
          <w:szCs w:val="24"/>
        </w:rPr>
        <w:t xml:space="preserve">ai structurilor parteneriale aferente </w:t>
      </w:r>
      <w:r w:rsidR="00B114F6" w:rsidRPr="00E471AC">
        <w:rPr>
          <w:sz w:val="24"/>
          <w:szCs w:val="24"/>
        </w:rPr>
        <w:t>Planului Național de Redresare și Reziliență</w:t>
      </w:r>
      <w:r w:rsidR="00115605" w:rsidRPr="00E471AC">
        <w:rPr>
          <w:sz w:val="24"/>
          <w:szCs w:val="24"/>
        </w:rPr>
        <w:t xml:space="preserve">, </w:t>
      </w:r>
      <w:r w:rsidRPr="00E471AC">
        <w:rPr>
          <w:sz w:val="24"/>
          <w:szCs w:val="24"/>
        </w:rPr>
        <w:t xml:space="preserve"> </w:t>
      </w:r>
      <w:r w:rsidR="00776B11" w:rsidRPr="00E471AC">
        <w:rPr>
          <w:sz w:val="24"/>
          <w:szCs w:val="24"/>
        </w:rPr>
        <w:t>Ministerul Investițiilor și P</w:t>
      </w:r>
      <w:r w:rsidR="00B05E24" w:rsidRPr="00E471AC">
        <w:rPr>
          <w:sz w:val="24"/>
          <w:szCs w:val="24"/>
        </w:rPr>
        <w:t xml:space="preserve">roiectelor Europene </w:t>
      </w:r>
      <w:r w:rsidRPr="00E471AC">
        <w:rPr>
          <w:sz w:val="24"/>
          <w:szCs w:val="24"/>
        </w:rPr>
        <w:t>invită</w:t>
      </w:r>
      <w:r w:rsidR="00115605" w:rsidRPr="00E471AC">
        <w:rPr>
          <w:sz w:val="24"/>
          <w:szCs w:val="24"/>
        </w:rPr>
        <w:t xml:space="preserve"> </w:t>
      </w:r>
      <w:r w:rsidR="007C308D" w:rsidRPr="00E471AC">
        <w:rPr>
          <w:sz w:val="24"/>
          <w:szCs w:val="24"/>
        </w:rPr>
        <w:t>organizațiile n</w:t>
      </w:r>
      <w:r w:rsidR="00CB10B4">
        <w:rPr>
          <w:sz w:val="24"/>
          <w:szCs w:val="24"/>
        </w:rPr>
        <w:t>e</w:t>
      </w:r>
      <w:r w:rsidR="00FA35F6" w:rsidRPr="00E471AC">
        <w:rPr>
          <w:sz w:val="24"/>
          <w:szCs w:val="24"/>
        </w:rPr>
        <w:t>guvernamentale</w:t>
      </w:r>
      <w:r w:rsidR="00115605" w:rsidRPr="00E471AC">
        <w:rPr>
          <w:sz w:val="24"/>
          <w:szCs w:val="24"/>
        </w:rPr>
        <w:t xml:space="preserve"> interesate </w:t>
      </w:r>
      <w:r w:rsidRPr="00E471AC">
        <w:rPr>
          <w:sz w:val="24"/>
          <w:szCs w:val="24"/>
        </w:rPr>
        <w:t xml:space="preserve">să </w:t>
      </w:r>
      <w:r w:rsidR="00FA35F6" w:rsidRPr="00E471AC">
        <w:rPr>
          <w:sz w:val="24"/>
          <w:szCs w:val="24"/>
        </w:rPr>
        <w:t>își</w:t>
      </w:r>
      <w:r w:rsidRPr="00E471AC">
        <w:rPr>
          <w:sz w:val="24"/>
          <w:szCs w:val="24"/>
        </w:rPr>
        <w:t xml:space="preserve"> exprime interesul pentru participarea la </w:t>
      </w:r>
      <w:r w:rsidR="00115605" w:rsidRPr="00E471AC">
        <w:rPr>
          <w:sz w:val="24"/>
          <w:szCs w:val="24"/>
        </w:rPr>
        <w:t xml:space="preserve">structurile parteneriale aferente fiecărui </w:t>
      </w:r>
      <w:r w:rsidR="00EA6348" w:rsidRPr="00E471AC">
        <w:rPr>
          <w:sz w:val="24"/>
          <w:szCs w:val="24"/>
        </w:rPr>
        <w:t>pilon prevăzut în cadrul Regulamentul</w:t>
      </w:r>
      <w:r w:rsidR="00BC1007">
        <w:rPr>
          <w:sz w:val="24"/>
          <w:szCs w:val="24"/>
        </w:rPr>
        <w:t>ui</w:t>
      </w:r>
      <w:r w:rsidR="00EA6348" w:rsidRPr="00E471AC">
        <w:rPr>
          <w:sz w:val="24"/>
          <w:szCs w:val="24"/>
        </w:rPr>
        <w:t xml:space="preserve"> (UE) 2021/241 al Parlamentului European și al Consiliului de instituire a Mecanismului de redresare și reziliență</w:t>
      </w:r>
      <w:r w:rsidR="00FA35F6">
        <w:rPr>
          <w:sz w:val="24"/>
          <w:szCs w:val="24"/>
        </w:rPr>
        <w:t xml:space="preserve">: </w:t>
      </w:r>
      <w:r w:rsidR="00FA35F6" w:rsidRPr="00BF73D5">
        <w:rPr>
          <w:i/>
          <w:sz w:val="24"/>
          <w:szCs w:val="24"/>
        </w:rPr>
        <w:t>tranziție verde, transformare digitală, creștere inteligentă, coeziune socială și teritorială, sănătate și reziliență economică, socială și instituțională, politici pentru generația următoare, copii și tineret, cum ar fi educația și competențele.</w:t>
      </w:r>
    </w:p>
    <w:p w:rsidR="003821E3" w:rsidRPr="00FA35F6" w:rsidRDefault="00EA6348" w:rsidP="00551C78">
      <w:pPr>
        <w:widowControl w:val="0"/>
        <w:spacing w:before="120" w:after="120"/>
        <w:jc w:val="both"/>
        <w:rPr>
          <w:sz w:val="24"/>
          <w:szCs w:val="24"/>
        </w:rPr>
      </w:pPr>
      <w:r w:rsidRPr="00FA35F6">
        <w:rPr>
          <w:sz w:val="24"/>
          <w:szCs w:val="24"/>
        </w:rPr>
        <w:t>Exprimarea interesului se transmite</w:t>
      </w:r>
      <w:r w:rsidR="003821E3" w:rsidRPr="00FA35F6">
        <w:rPr>
          <w:sz w:val="24"/>
          <w:szCs w:val="24"/>
        </w:rPr>
        <w:t xml:space="preserve"> </w:t>
      </w:r>
      <w:r w:rsidR="00FA35F6" w:rsidRPr="00FA35F6">
        <w:rPr>
          <w:sz w:val="24"/>
          <w:szCs w:val="24"/>
        </w:rPr>
        <w:t xml:space="preserve">prin e-mail, în  termen  de  5  zile lucrătoare de la lansarea prezentului anunț, </w:t>
      </w:r>
      <w:r w:rsidRPr="00FA35F6">
        <w:rPr>
          <w:sz w:val="24"/>
          <w:szCs w:val="24"/>
        </w:rPr>
        <w:t xml:space="preserve">la adresa </w:t>
      </w:r>
      <w:r w:rsidR="004A6E7F" w:rsidRPr="00FA35F6">
        <w:rPr>
          <w:b/>
          <w:sz w:val="24"/>
          <w:szCs w:val="24"/>
        </w:rPr>
        <w:t>contact.</w:t>
      </w:r>
      <w:r w:rsidRPr="00FA35F6">
        <w:rPr>
          <w:b/>
          <w:sz w:val="24"/>
          <w:szCs w:val="24"/>
        </w:rPr>
        <w:t>pnrr@mfe.gov.ro</w:t>
      </w:r>
      <w:r w:rsidRPr="00FA35F6">
        <w:rPr>
          <w:sz w:val="24"/>
          <w:szCs w:val="24"/>
        </w:rPr>
        <w:t xml:space="preserve">, </w:t>
      </w:r>
      <w:r w:rsidR="003821E3" w:rsidRPr="00FA35F6">
        <w:rPr>
          <w:sz w:val="24"/>
          <w:szCs w:val="24"/>
        </w:rPr>
        <w:t xml:space="preserve">prin completarea </w:t>
      </w:r>
      <w:r w:rsidR="005C0542" w:rsidRPr="00FA35F6">
        <w:rPr>
          <w:b/>
          <w:sz w:val="24"/>
          <w:szCs w:val="24"/>
        </w:rPr>
        <w:t>Formularului</w:t>
      </w:r>
      <w:r w:rsidR="00776B11" w:rsidRPr="00FA35F6">
        <w:rPr>
          <w:b/>
          <w:sz w:val="24"/>
          <w:szCs w:val="24"/>
        </w:rPr>
        <w:t xml:space="preserve"> de candidatură</w:t>
      </w:r>
      <w:r w:rsidR="00115605" w:rsidRPr="00FA35F6">
        <w:rPr>
          <w:b/>
          <w:sz w:val="24"/>
          <w:szCs w:val="24"/>
        </w:rPr>
        <w:t xml:space="preserve"> </w:t>
      </w:r>
      <w:r w:rsidR="000B38A7" w:rsidRPr="00FA35F6">
        <w:rPr>
          <w:sz w:val="24"/>
          <w:szCs w:val="24"/>
        </w:rPr>
        <w:t>publica</w:t>
      </w:r>
      <w:r w:rsidR="003821E3" w:rsidRPr="00FA35F6">
        <w:rPr>
          <w:sz w:val="24"/>
          <w:szCs w:val="24"/>
        </w:rPr>
        <w:t>t</w:t>
      </w:r>
      <w:r w:rsidR="00FA35F6">
        <w:rPr>
          <w:sz w:val="24"/>
          <w:szCs w:val="24"/>
        </w:rPr>
        <w:t>.</w:t>
      </w:r>
    </w:p>
    <w:p w:rsidR="00D76E68" w:rsidRDefault="006451BC" w:rsidP="00551C78">
      <w:pPr>
        <w:widowControl w:val="0"/>
        <w:spacing w:before="120" w:after="120"/>
        <w:jc w:val="both"/>
        <w:rPr>
          <w:b/>
          <w:sz w:val="24"/>
          <w:szCs w:val="24"/>
        </w:rPr>
      </w:pPr>
      <w:r w:rsidRPr="00AA6760">
        <w:rPr>
          <w:sz w:val="24"/>
          <w:szCs w:val="24"/>
        </w:rPr>
        <w:t>Procesul de selecție se va realiza conform</w:t>
      </w:r>
      <w:r>
        <w:rPr>
          <w:b/>
          <w:sz w:val="24"/>
          <w:szCs w:val="24"/>
        </w:rPr>
        <w:t xml:space="preserve"> </w:t>
      </w:r>
      <w:r w:rsidR="00D76E68" w:rsidRPr="005C0542">
        <w:rPr>
          <w:b/>
          <w:sz w:val="24"/>
          <w:szCs w:val="24"/>
        </w:rPr>
        <w:t>Gril</w:t>
      </w:r>
      <w:r>
        <w:rPr>
          <w:b/>
          <w:sz w:val="24"/>
          <w:szCs w:val="24"/>
        </w:rPr>
        <w:t>ei</w:t>
      </w:r>
      <w:r w:rsidR="00D76E68" w:rsidRPr="005C0542">
        <w:rPr>
          <w:b/>
          <w:sz w:val="24"/>
          <w:szCs w:val="24"/>
        </w:rPr>
        <w:t xml:space="preserve"> de Evaluare și Punctaj</w:t>
      </w:r>
      <w:r w:rsidR="00F53A65">
        <w:rPr>
          <w:b/>
          <w:sz w:val="24"/>
          <w:szCs w:val="24"/>
        </w:rPr>
        <w:t xml:space="preserve">, </w:t>
      </w:r>
      <w:r w:rsidR="00BC1007">
        <w:rPr>
          <w:sz w:val="24"/>
          <w:szCs w:val="24"/>
        </w:rPr>
        <w:t xml:space="preserve">publicată pe site-ul </w:t>
      </w:r>
      <w:hyperlink r:id="rId9" w:history="1">
        <w:r w:rsidR="00BC1007" w:rsidRPr="003F710E">
          <w:rPr>
            <w:rStyle w:val="Hyperlink"/>
            <w:sz w:val="24"/>
            <w:szCs w:val="24"/>
          </w:rPr>
          <w:t>https://mfe.gov.ro/pnrr/</w:t>
        </w:r>
      </w:hyperlink>
      <w:r w:rsidR="00BC1007">
        <w:rPr>
          <w:sz w:val="24"/>
          <w:szCs w:val="24"/>
        </w:rPr>
        <w:t xml:space="preserve">, </w:t>
      </w:r>
      <w:r w:rsidRPr="00A00016">
        <w:rPr>
          <w:sz w:val="24"/>
          <w:szCs w:val="24"/>
        </w:rPr>
        <w:t>care</w:t>
      </w:r>
      <w:r>
        <w:rPr>
          <w:b/>
          <w:sz w:val="24"/>
          <w:szCs w:val="24"/>
        </w:rPr>
        <w:t xml:space="preserve"> </w:t>
      </w:r>
      <w:r w:rsidR="00F53A65">
        <w:rPr>
          <w:sz w:val="24"/>
          <w:szCs w:val="24"/>
        </w:rPr>
        <w:t>conține</w:t>
      </w:r>
      <w:r w:rsidR="00551C78" w:rsidRPr="00551C78">
        <w:rPr>
          <w:sz w:val="24"/>
          <w:szCs w:val="24"/>
        </w:rPr>
        <w:t xml:space="preserve"> criteriile pe baza cărora se</w:t>
      </w:r>
      <w:r w:rsidR="00551C78">
        <w:rPr>
          <w:sz w:val="24"/>
          <w:szCs w:val="24"/>
        </w:rPr>
        <w:t xml:space="preserve"> v</w:t>
      </w:r>
      <w:r w:rsidR="00BC1007">
        <w:rPr>
          <w:sz w:val="24"/>
          <w:szCs w:val="24"/>
        </w:rPr>
        <w:t>or</w:t>
      </w:r>
      <w:r w:rsidR="00551C78">
        <w:rPr>
          <w:sz w:val="24"/>
          <w:szCs w:val="24"/>
        </w:rPr>
        <w:t xml:space="preserve"> realiza</w:t>
      </w:r>
      <w:r w:rsidR="00F53A65">
        <w:rPr>
          <w:sz w:val="24"/>
          <w:szCs w:val="24"/>
        </w:rPr>
        <w:t xml:space="preserve"> evaluarea și</w:t>
      </w:r>
      <w:r w:rsidR="00551C78">
        <w:rPr>
          <w:sz w:val="24"/>
          <w:szCs w:val="24"/>
        </w:rPr>
        <w:t xml:space="preserve"> selecția partenerilor, în vederea asigurării unui proces transparent și echitabil.</w:t>
      </w:r>
      <w:r w:rsidR="00551C78">
        <w:rPr>
          <w:b/>
          <w:sz w:val="24"/>
          <w:szCs w:val="24"/>
        </w:rPr>
        <w:t xml:space="preserve"> </w:t>
      </w:r>
    </w:p>
    <w:p w:rsidR="00A00016" w:rsidRDefault="00A00016" w:rsidP="00A00016">
      <w:pPr>
        <w:widowControl w:val="0"/>
        <w:spacing w:before="120" w:after="120"/>
        <w:jc w:val="both"/>
        <w:rPr>
          <w:sz w:val="24"/>
          <w:szCs w:val="24"/>
        </w:rPr>
      </w:pPr>
      <w:r w:rsidRPr="00A00016">
        <w:rPr>
          <w:sz w:val="24"/>
          <w:szCs w:val="24"/>
        </w:rPr>
        <w:t xml:space="preserve">Rezultatele procesului de evaluare și selecție vor fi publicate pe pagina web a </w:t>
      </w:r>
      <w:r w:rsidR="00B05E24" w:rsidRPr="00B05E24">
        <w:rPr>
          <w:sz w:val="24"/>
          <w:szCs w:val="24"/>
        </w:rPr>
        <w:t xml:space="preserve">Ministerul Investițiilor și </w:t>
      </w:r>
      <w:r w:rsidR="001C5F85">
        <w:rPr>
          <w:sz w:val="24"/>
          <w:szCs w:val="24"/>
        </w:rPr>
        <w:t>P</w:t>
      </w:r>
      <w:r w:rsidR="00B05E24" w:rsidRPr="00B05E24">
        <w:rPr>
          <w:sz w:val="24"/>
          <w:szCs w:val="24"/>
        </w:rPr>
        <w:t>roiectelor Europene</w:t>
      </w:r>
      <w:r w:rsidRPr="00A00016">
        <w:rPr>
          <w:sz w:val="24"/>
          <w:szCs w:val="24"/>
        </w:rPr>
        <w:t>, după analizarea și evaluarea tutu</w:t>
      </w:r>
      <w:r w:rsidR="0009163E">
        <w:rPr>
          <w:sz w:val="24"/>
          <w:szCs w:val="24"/>
        </w:rPr>
        <w:t xml:space="preserve">ror Formularelor de Candidatură, </w:t>
      </w:r>
      <w:r w:rsidR="0009163E" w:rsidRPr="0009163E">
        <w:rPr>
          <w:sz w:val="24"/>
          <w:szCs w:val="24"/>
        </w:rPr>
        <w:t xml:space="preserve">în termen de 5 zile lucrătoare de la expirarea termenului de transmitere a </w:t>
      </w:r>
      <w:r w:rsidR="00BC1007">
        <w:rPr>
          <w:sz w:val="24"/>
          <w:szCs w:val="24"/>
        </w:rPr>
        <w:t>acestora</w:t>
      </w:r>
      <w:r w:rsidR="0009163E" w:rsidRPr="0009163E">
        <w:rPr>
          <w:sz w:val="24"/>
          <w:szCs w:val="24"/>
        </w:rPr>
        <w:t>.</w:t>
      </w:r>
    </w:p>
    <w:p w:rsidR="00A00016" w:rsidRDefault="00A00016" w:rsidP="00A00016">
      <w:pPr>
        <w:widowControl w:val="0"/>
        <w:spacing w:before="120" w:after="120"/>
        <w:jc w:val="both"/>
        <w:rPr>
          <w:sz w:val="24"/>
          <w:szCs w:val="24"/>
        </w:rPr>
      </w:pPr>
      <w:r w:rsidRPr="00A00016">
        <w:rPr>
          <w:sz w:val="24"/>
          <w:szCs w:val="24"/>
        </w:rPr>
        <w:t xml:space="preserve">Depunerea contestațiilor se va realiza în termen de </w:t>
      </w:r>
      <w:r w:rsidRPr="00B30890">
        <w:rPr>
          <w:sz w:val="24"/>
          <w:szCs w:val="24"/>
        </w:rPr>
        <w:t>maxim 3</w:t>
      </w:r>
      <w:r w:rsidR="00B05E24" w:rsidRPr="00B30890">
        <w:rPr>
          <w:sz w:val="24"/>
          <w:szCs w:val="24"/>
        </w:rPr>
        <w:t xml:space="preserve"> </w:t>
      </w:r>
      <w:r w:rsidR="00431A28" w:rsidRPr="00B30890">
        <w:rPr>
          <w:sz w:val="24"/>
          <w:szCs w:val="24"/>
        </w:rPr>
        <w:t>zile lucrătoare</w:t>
      </w:r>
      <w:r w:rsidR="00431A28" w:rsidRPr="00B30890">
        <w:rPr>
          <w:i/>
          <w:sz w:val="24"/>
          <w:szCs w:val="24"/>
        </w:rPr>
        <w:t xml:space="preserve"> </w:t>
      </w:r>
      <w:r w:rsidRPr="00A00016">
        <w:rPr>
          <w:sz w:val="24"/>
          <w:szCs w:val="24"/>
        </w:rPr>
        <w:t>de la data publicării rezultatelor procesului de evaluare și selecție, prin for</w:t>
      </w:r>
      <w:r w:rsidR="00BC1007">
        <w:rPr>
          <w:sz w:val="24"/>
          <w:szCs w:val="24"/>
        </w:rPr>
        <w:t xml:space="preserve">mularea unei contestații care va include </w:t>
      </w:r>
      <w:r w:rsidRPr="00A00016">
        <w:rPr>
          <w:sz w:val="24"/>
          <w:szCs w:val="24"/>
        </w:rPr>
        <w:t xml:space="preserve">obiectul contestației și argumentele care susțin punctul de vedere al organizației cu </w:t>
      </w:r>
      <w:r>
        <w:rPr>
          <w:sz w:val="24"/>
          <w:szCs w:val="24"/>
        </w:rPr>
        <w:t xml:space="preserve">privire la </w:t>
      </w:r>
      <w:r>
        <w:rPr>
          <w:sz w:val="24"/>
          <w:szCs w:val="24"/>
        </w:rPr>
        <w:lastRenderedPageBreak/>
        <w:t>aspectele contestate.</w:t>
      </w:r>
    </w:p>
    <w:p w:rsidR="003821E3" w:rsidRPr="00CB10B4" w:rsidRDefault="00CB10B4" w:rsidP="00CB10B4">
      <w:pPr>
        <w:widowControl w:val="0"/>
        <w:jc w:val="both"/>
        <w:rPr>
          <w:sz w:val="24"/>
          <w:szCs w:val="24"/>
        </w:rPr>
      </w:pPr>
      <w:r w:rsidRPr="00CB10B4">
        <w:rPr>
          <w:sz w:val="24"/>
          <w:szCs w:val="24"/>
        </w:rPr>
        <w:t>Având în vedere faptul că principiul parteneriatului este unul dintre pilonii fundamentali ai procesului de planificare la nivelul</w:t>
      </w:r>
      <w:r w:rsidR="00BC1007">
        <w:rPr>
          <w:sz w:val="24"/>
          <w:szCs w:val="24"/>
        </w:rPr>
        <w:t xml:space="preserve"> Uniunii Europene, Ministerul</w:t>
      </w:r>
      <w:r w:rsidRPr="00CB10B4">
        <w:rPr>
          <w:sz w:val="24"/>
          <w:szCs w:val="24"/>
        </w:rPr>
        <w:t xml:space="preserve"> Investițiilor și Proiectelor Europene își exprimă deschiderea pentru o consultare cât mai</w:t>
      </w:r>
      <w:r w:rsidR="00BC1007">
        <w:rPr>
          <w:sz w:val="24"/>
          <w:szCs w:val="24"/>
        </w:rPr>
        <w:t xml:space="preserve"> largă a partenerilor re</w:t>
      </w:r>
      <w:bookmarkStart w:id="0" w:name="_GoBack"/>
      <w:bookmarkEnd w:id="0"/>
      <w:r w:rsidR="00BC1007">
        <w:rPr>
          <w:sz w:val="24"/>
          <w:szCs w:val="24"/>
        </w:rPr>
        <w:t>levanți.</w:t>
      </w:r>
    </w:p>
    <w:sectPr w:rsidR="003821E3" w:rsidRPr="00CB10B4" w:rsidSect="00C62116">
      <w:footerReference w:type="default" r:id="rId10"/>
      <w:pgSz w:w="11906" w:h="16838"/>
      <w:pgMar w:top="851" w:right="1133" w:bottom="851" w:left="1276" w:header="708" w:footer="5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39C" w:rsidRDefault="0054039C" w:rsidP="00C732A5">
      <w:pPr>
        <w:spacing w:after="0" w:line="240" w:lineRule="auto"/>
      </w:pPr>
      <w:r>
        <w:separator/>
      </w:r>
    </w:p>
  </w:endnote>
  <w:endnote w:type="continuationSeparator" w:id="0">
    <w:p w:rsidR="0054039C" w:rsidRDefault="0054039C" w:rsidP="00C73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173673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732A5" w:rsidRDefault="00C732A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100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732A5" w:rsidRDefault="00C732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39C" w:rsidRDefault="0054039C" w:rsidP="00C732A5">
      <w:pPr>
        <w:spacing w:after="0" w:line="240" w:lineRule="auto"/>
      </w:pPr>
      <w:r>
        <w:separator/>
      </w:r>
    </w:p>
  </w:footnote>
  <w:footnote w:type="continuationSeparator" w:id="0">
    <w:p w:rsidR="0054039C" w:rsidRDefault="0054039C" w:rsidP="00C732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9B790D"/>
    <w:multiLevelType w:val="hybridMultilevel"/>
    <w:tmpl w:val="73727E72"/>
    <w:lvl w:ilvl="0" w:tplc="03CE397E">
      <w:start w:val="1"/>
      <w:numFmt w:val="bullet"/>
      <w:lvlText w:val="–"/>
      <w:lvlJc w:val="left"/>
      <w:pPr>
        <w:ind w:left="1004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3A854427"/>
    <w:multiLevelType w:val="hybridMultilevel"/>
    <w:tmpl w:val="A3488A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761B45"/>
    <w:multiLevelType w:val="hybridMultilevel"/>
    <w:tmpl w:val="9732ED6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46F5"/>
    <w:multiLevelType w:val="hybridMultilevel"/>
    <w:tmpl w:val="D01EC7E8"/>
    <w:lvl w:ilvl="0" w:tplc="040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3CE397E">
      <w:start w:val="1"/>
      <w:numFmt w:val="bullet"/>
      <w:lvlText w:val="–"/>
      <w:lvlJc w:val="left"/>
      <w:pPr>
        <w:ind w:left="1866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89F128E"/>
    <w:multiLevelType w:val="hybridMultilevel"/>
    <w:tmpl w:val="415AA8D8"/>
    <w:lvl w:ilvl="0" w:tplc="02C247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475799"/>
    <w:multiLevelType w:val="hybridMultilevel"/>
    <w:tmpl w:val="7C4612F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01369A"/>
    <w:multiLevelType w:val="hybridMultilevel"/>
    <w:tmpl w:val="0212ED1E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1118F9"/>
    <w:multiLevelType w:val="hybridMultilevel"/>
    <w:tmpl w:val="72906B08"/>
    <w:lvl w:ilvl="0" w:tplc="03CE397E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7"/>
  </w:num>
  <w:num w:numId="5">
    <w:abstractNumId w:val="5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E2D"/>
    <w:rsid w:val="000134AE"/>
    <w:rsid w:val="000473E8"/>
    <w:rsid w:val="0005676A"/>
    <w:rsid w:val="0006554A"/>
    <w:rsid w:val="000742C0"/>
    <w:rsid w:val="00083C46"/>
    <w:rsid w:val="0008538B"/>
    <w:rsid w:val="0009163E"/>
    <w:rsid w:val="00096C5F"/>
    <w:rsid w:val="000A612A"/>
    <w:rsid w:val="000B38A7"/>
    <w:rsid w:val="00115605"/>
    <w:rsid w:val="00163EAB"/>
    <w:rsid w:val="001713AB"/>
    <w:rsid w:val="001B05C8"/>
    <w:rsid w:val="001C5F85"/>
    <w:rsid w:val="001E1C2D"/>
    <w:rsid w:val="001E6B06"/>
    <w:rsid w:val="001F1FBF"/>
    <w:rsid w:val="00203C2E"/>
    <w:rsid w:val="00213755"/>
    <w:rsid w:val="002543FC"/>
    <w:rsid w:val="00265B22"/>
    <w:rsid w:val="00267303"/>
    <w:rsid w:val="00273438"/>
    <w:rsid w:val="00285227"/>
    <w:rsid w:val="002A1321"/>
    <w:rsid w:val="002B6C73"/>
    <w:rsid w:val="002E2ED0"/>
    <w:rsid w:val="00337BA8"/>
    <w:rsid w:val="00352AAB"/>
    <w:rsid w:val="003821E3"/>
    <w:rsid w:val="003B4D70"/>
    <w:rsid w:val="003E5F19"/>
    <w:rsid w:val="00404A16"/>
    <w:rsid w:val="00412D6F"/>
    <w:rsid w:val="004132FD"/>
    <w:rsid w:val="004274F7"/>
    <w:rsid w:val="00431A28"/>
    <w:rsid w:val="00454876"/>
    <w:rsid w:val="00455AF5"/>
    <w:rsid w:val="004A6E7F"/>
    <w:rsid w:val="004B6B9B"/>
    <w:rsid w:val="004F7BF3"/>
    <w:rsid w:val="00501E61"/>
    <w:rsid w:val="005143FB"/>
    <w:rsid w:val="00525144"/>
    <w:rsid w:val="00532BF1"/>
    <w:rsid w:val="0054039C"/>
    <w:rsid w:val="005509DF"/>
    <w:rsid w:val="00551C78"/>
    <w:rsid w:val="005722BD"/>
    <w:rsid w:val="00576547"/>
    <w:rsid w:val="005C0542"/>
    <w:rsid w:val="005C2443"/>
    <w:rsid w:val="005D43F3"/>
    <w:rsid w:val="005D7B21"/>
    <w:rsid w:val="005E0CBD"/>
    <w:rsid w:val="005F1583"/>
    <w:rsid w:val="0060790E"/>
    <w:rsid w:val="0062555B"/>
    <w:rsid w:val="006451BC"/>
    <w:rsid w:val="00652333"/>
    <w:rsid w:val="006631A2"/>
    <w:rsid w:val="00667DDA"/>
    <w:rsid w:val="00690250"/>
    <w:rsid w:val="006A0CE0"/>
    <w:rsid w:val="006C0935"/>
    <w:rsid w:val="007279E7"/>
    <w:rsid w:val="0073247D"/>
    <w:rsid w:val="00755864"/>
    <w:rsid w:val="00756E07"/>
    <w:rsid w:val="007615E1"/>
    <w:rsid w:val="007667CC"/>
    <w:rsid w:val="00776B11"/>
    <w:rsid w:val="00792F36"/>
    <w:rsid w:val="007A07E5"/>
    <w:rsid w:val="007C0B91"/>
    <w:rsid w:val="007C308D"/>
    <w:rsid w:val="007C3BFF"/>
    <w:rsid w:val="00843CB0"/>
    <w:rsid w:val="00843F74"/>
    <w:rsid w:val="00895766"/>
    <w:rsid w:val="008B05F4"/>
    <w:rsid w:val="008C137B"/>
    <w:rsid w:val="008F0343"/>
    <w:rsid w:val="008F571B"/>
    <w:rsid w:val="0090031D"/>
    <w:rsid w:val="009141A2"/>
    <w:rsid w:val="009152EA"/>
    <w:rsid w:val="00916F38"/>
    <w:rsid w:val="00917649"/>
    <w:rsid w:val="00923E31"/>
    <w:rsid w:val="0092663C"/>
    <w:rsid w:val="00927430"/>
    <w:rsid w:val="00981D10"/>
    <w:rsid w:val="009839D7"/>
    <w:rsid w:val="0099453A"/>
    <w:rsid w:val="009A3CA9"/>
    <w:rsid w:val="009A49DD"/>
    <w:rsid w:val="009C5DCB"/>
    <w:rsid w:val="009D598B"/>
    <w:rsid w:val="009F6D72"/>
    <w:rsid w:val="00A00016"/>
    <w:rsid w:val="00A00C7A"/>
    <w:rsid w:val="00A25161"/>
    <w:rsid w:val="00A554A8"/>
    <w:rsid w:val="00A638D8"/>
    <w:rsid w:val="00A70D9D"/>
    <w:rsid w:val="00A7439D"/>
    <w:rsid w:val="00A83B9C"/>
    <w:rsid w:val="00A90DF3"/>
    <w:rsid w:val="00A9106B"/>
    <w:rsid w:val="00A96917"/>
    <w:rsid w:val="00AA2A77"/>
    <w:rsid w:val="00AA6760"/>
    <w:rsid w:val="00AB67C8"/>
    <w:rsid w:val="00AC4A20"/>
    <w:rsid w:val="00AD2B2A"/>
    <w:rsid w:val="00AE74F8"/>
    <w:rsid w:val="00AF67FE"/>
    <w:rsid w:val="00B05E24"/>
    <w:rsid w:val="00B114F6"/>
    <w:rsid w:val="00B12AA8"/>
    <w:rsid w:val="00B148A3"/>
    <w:rsid w:val="00B30890"/>
    <w:rsid w:val="00B37E2D"/>
    <w:rsid w:val="00B65612"/>
    <w:rsid w:val="00B72F1A"/>
    <w:rsid w:val="00B73F08"/>
    <w:rsid w:val="00B80E92"/>
    <w:rsid w:val="00B82998"/>
    <w:rsid w:val="00B931A1"/>
    <w:rsid w:val="00BC1007"/>
    <w:rsid w:val="00BD70B5"/>
    <w:rsid w:val="00BF73D5"/>
    <w:rsid w:val="00C03ACB"/>
    <w:rsid w:val="00C07419"/>
    <w:rsid w:val="00C07F64"/>
    <w:rsid w:val="00C236A1"/>
    <w:rsid w:val="00C3239E"/>
    <w:rsid w:val="00C36214"/>
    <w:rsid w:val="00C4323A"/>
    <w:rsid w:val="00C62116"/>
    <w:rsid w:val="00C732A5"/>
    <w:rsid w:val="00C9104C"/>
    <w:rsid w:val="00CA5B43"/>
    <w:rsid w:val="00CB10B4"/>
    <w:rsid w:val="00CD548E"/>
    <w:rsid w:val="00CE50AA"/>
    <w:rsid w:val="00D0003C"/>
    <w:rsid w:val="00D06D24"/>
    <w:rsid w:val="00D11A0F"/>
    <w:rsid w:val="00D76E68"/>
    <w:rsid w:val="00D9568E"/>
    <w:rsid w:val="00DA505B"/>
    <w:rsid w:val="00DB5760"/>
    <w:rsid w:val="00DC1E71"/>
    <w:rsid w:val="00DD0D48"/>
    <w:rsid w:val="00DF02E4"/>
    <w:rsid w:val="00E128C5"/>
    <w:rsid w:val="00E23093"/>
    <w:rsid w:val="00E266CE"/>
    <w:rsid w:val="00E32DBE"/>
    <w:rsid w:val="00E42117"/>
    <w:rsid w:val="00E471AC"/>
    <w:rsid w:val="00E4784E"/>
    <w:rsid w:val="00EA27CA"/>
    <w:rsid w:val="00EA4AF4"/>
    <w:rsid w:val="00EA55E9"/>
    <w:rsid w:val="00EA6348"/>
    <w:rsid w:val="00EE4BA7"/>
    <w:rsid w:val="00EF1246"/>
    <w:rsid w:val="00F31622"/>
    <w:rsid w:val="00F319C0"/>
    <w:rsid w:val="00F403F4"/>
    <w:rsid w:val="00F53A65"/>
    <w:rsid w:val="00F70D0B"/>
    <w:rsid w:val="00F9387B"/>
    <w:rsid w:val="00FA35F6"/>
    <w:rsid w:val="00FB19C6"/>
    <w:rsid w:val="00FD3C7D"/>
    <w:rsid w:val="00FD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9CF85"/>
  <w15:docId w15:val="{39FCBBE3-3FFD-476C-94B6-523D11500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66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2,List_Paragraph,Multilevel para_II,Normal bullet 2,Table of contents numbered,List1"/>
    <w:basedOn w:val="Normal"/>
    <w:link w:val="ListParagraphChar"/>
    <w:uiPriority w:val="1"/>
    <w:qFormat/>
    <w:rsid w:val="00A90DF3"/>
    <w:pPr>
      <w:ind w:left="720"/>
      <w:contextualSpacing/>
    </w:pPr>
  </w:style>
  <w:style w:type="character" w:customStyle="1" w:styleId="ListParagraphChar">
    <w:name w:val="List Paragraph Char"/>
    <w:aliases w:val="body 2 Char,List_Paragraph Char,Multilevel para_II Char,Normal bullet 2 Char,Table of contents numbered Char,List1 Char"/>
    <w:basedOn w:val="DefaultParagraphFont"/>
    <w:link w:val="ListParagraph"/>
    <w:uiPriority w:val="1"/>
    <w:rsid w:val="00A90DF3"/>
  </w:style>
  <w:style w:type="paragraph" w:styleId="BalloonText">
    <w:name w:val="Balloon Text"/>
    <w:basedOn w:val="Normal"/>
    <w:link w:val="BalloonTextChar"/>
    <w:uiPriority w:val="99"/>
    <w:semiHidden/>
    <w:unhideWhenUsed/>
    <w:rsid w:val="005509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9D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732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32A5"/>
  </w:style>
  <w:style w:type="paragraph" w:styleId="Footer">
    <w:name w:val="footer"/>
    <w:basedOn w:val="Normal"/>
    <w:link w:val="FooterChar"/>
    <w:uiPriority w:val="99"/>
    <w:unhideWhenUsed/>
    <w:rsid w:val="00C732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32A5"/>
  </w:style>
  <w:style w:type="table" w:styleId="TableGrid">
    <w:name w:val="Table Grid"/>
    <w:basedOn w:val="TableNormal"/>
    <w:uiPriority w:val="59"/>
    <w:rsid w:val="005C24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548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487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48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48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4876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51C7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2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93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mfe.gov.ro/pnr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DB9677-2672-4A91-B082-499DE214B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464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Ministerul Fondurilor Europene</dc:creator>
  <cp:lastModifiedBy>Bogdana Mihaela Toader</cp:lastModifiedBy>
  <cp:revision>3</cp:revision>
  <cp:lastPrinted>2022-05-20T12:21:00Z</cp:lastPrinted>
  <dcterms:created xsi:type="dcterms:W3CDTF">2022-05-20T14:39:00Z</dcterms:created>
  <dcterms:modified xsi:type="dcterms:W3CDTF">2022-05-20T14:47:00Z</dcterms:modified>
</cp:coreProperties>
</file>